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b/>
          <w:bCs/>
          <w:sz w:val="28"/>
          <w:szCs w:val="28"/>
          <w:lang w:val="en-US"/>
        </w:rPr>
        <w:t>NATIONAL CITIZENS’ MOVEMENT FOR FREE ELECTIONS</w:t>
      </w:r>
    </w:p>
    <w:p>
      <w:pPr>
        <w:pStyle w:val="Normal"/>
        <w:spacing w:before="0" w:after="0"/>
        <w:jc w:val="center"/>
        <w:rPr/>
      </w:pPr>
      <w:r>
        <w:rPr>
          <w:b/>
          <w:bCs/>
          <w:sz w:val="24"/>
          <w:szCs w:val="24"/>
          <w:lang w:val="en-US"/>
        </w:rPr>
        <w:t>POLICY ON YOUTH VOLUNTEERS</w:t>
      </w:r>
    </w:p>
    <w:p>
      <w:pPr>
        <w:pStyle w:val="Normal"/>
        <w:spacing w:before="0" w:after="0"/>
        <w:rPr>
          <w:sz w:val="24"/>
          <w:szCs w:val="24"/>
          <w:lang w:val="en-US"/>
        </w:rPr>
      </w:pPr>
      <w:r>
        <w:rPr>
          <w:sz w:val="24"/>
          <w:szCs w:val="24"/>
          <w:lang w:val="en-US"/>
        </w:rPr>
      </w:r>
    </w:p>
    <w:p>
      <w:pPr>
        <w:pStyle w:val="Normal"/>
        <w:spacing w:before="0" w:after="0"/>
        <w:rPr/>
      </w:pPr>
      <w:r>
        <w:rPr>
          <w:sz w:val="24"/>
          <w:szCs w:val="24"/>
          <w:lang w:val="en-US"/>
        </w:rPr>
        <w:t>NAMFREL supports and promotes civic engagement among the youth.  Consistent with NAMFREL’s vision of ensuring clean, honest, and credible elections, NAMFREL seeks to develop among the youth awareness of preserving and protecting the integrity and credibility of the country’s electoral processes.</w:t>
      </w:r>
    </w:p>
    <w:p>
      <w:pPr>
        <w:pStyle w:val="Normal"/>
        <w:spacing w:before="0" w:after="0"/>
        <w:rPr>
          <w:sz w:val="24"/>
          <w:szCs w:val="24"/>
          <w:lang w:val="en-US"/>
        </w:rPr>
      </w:pPr>
      <w:r>
        <w:rPr>
          <w:sz w:val="24"/>
          <w:szCs w:val="24"/>
          <w:lang w:val="en-US"/>
        </w:rPr>
      </w:r>
    </w:p>
    <w:p>
      <w:pPr>
        <w:pStyle w:val="Normal"/>
        <w:spacing w:before="0" w:after="0"/>
        <w:rPr/>
      </w:pPr>
      <w:r>
        <w:rPr>
          <w:b/>
          <w:bCs/>
          <w:sz w:val="24"/>
          <w:szCs w:val="24"/>
          <w:lang w:val="en-US"/>
        </w:rPr>
        <w:t>Policy on Youth Volunteers</w:t>
      </w:r>
    </w:p>
    <w:p>
      <w:pPr>
        <w:pStyle w:val="Normal"/>
        <w:spacing w:before="0" w:after="0"/>
        <w:rPr>
          <w:sz w:val="24"/>
          <w:szCs w:val="24"/>
          <w:lang w:val="en-US"/>
        </w:rPr>
      </w:pPr>
      <w:r>
        <w:rPr>
          <w:sz w:val="24"/>
          <w:szCs w:val="24"/>
          <w:lang w:val="en-US"/>
        </w:rPr>
      </w:r>
    </w:p>
    <w:p>
      <w:pPr>
        <w:pStyle w:val="Normal"/>
        <w:spacing w:before="0" w:after="0"/>
        <w:rPr/>
      </w:pPr>
      <w:r>
        <w:rPr>
          <w:sz w:val="24"/>
          <w:szCs w:val="24"/>
          <w:lang w:val="en-US"/>
        </w:rPr>
        <w:t>NAMFREL accepts volunteers from the youth sector represented by the youth age group of persons from 15 to 24 years of age</w:t>
      </w:r>
      <w:r>
        <w:rPr>
          <w:rStyle w:val="FootnoteAnchor"/>
          <w:sz w:val="24"/>
          <w:szCs w:val="24"/>
          <w:lang w:val="en-US"/>
        </w:rPr>
        <w:footnoteReference w:id="2"/>
      </w:r>
      <w:r>
        <w:rPr>
          <w:sz w:val="24"/>
          <w:szCs w:val="24"/>
          <w:lang w:val="en-US"/>
        </w:rPr>
        <w:t>.  Philippine law defines the age of majority at 18 years old</w:t>
      </w:r>
      <w:r>
        <w:rPr>
          <w:rStyle w:val="FootnoteAnchor"/>
          <w:sz w:val="24"/>
          <w:szCs w:val="24"/>
          <w:lang w:val="en-US"/>
        </w:rPr>
        <w:footnoteReference w:id="3"/>
      </w:r>
      <w:r>
        <w:rPr>
          <w:sz w:val="24"/>
          <w:szCs w:val="24"/>
          <w:lang w:val="en-US"/>
        </w:rPr>
        <w:t>.</w:t>
      </w:r>
    </w:p>
    <w:p>
      <w:pPr>
        <w:pStyle w:val="Normal"/>
        <w:spacing w:before="0" w:after="0"/>
        <w:rPr>
          <w:sz w:val="24"/>
          <w:szCs w:val="24"/>
          <w:lang w:val="en-US"/>
        </w:rPr>
      </w:pPr>
      <w:r>
        <w:rPr>
          <w:sz w:val="24"/>
          <w:szCs w:val="24"/>
          <w:lang w:val="en-US"/>
        </w:rPr>
      </w:r>
    </w:p>
    <w:p>
      <w:pPr>
        <w:pStyle w:val="Normal"/>
        <w:spacing w:before="0" w:after="0"/>
        <w:rPr/>
      </w:pPr>
      <w:r>
        <w:rPr>
          <w:sz w:val="24"/>
          <w:szCs w:val="24"/>
          <w:lang w:val="en-US"/>
        </w:rPr>
        <w:t>A person below the age of 18 who wants to join NAMFREL as volunteer is required to present parental consent to be enlisted with NAMFREL.</w:t>
      </w:r>
    </w:p>
    <w:p>
      <w:pPr>
        <w:pStyle w:val="Normal"/>
        <w:spacing w:before="0" w:after="0"/>
        <w:rPr>
          <w:sz w:val="24"/>
          <w:szCs w:val="24"/>
          <w:lang w:val="en-US"/>
        </w:rPr>
      </w:pPr>
      <w:r>
        <w:rPr>
          <w:sz w:val="24"/>
          <w:szCs w:val="24"/>
          <w:lang w:val="en-US"/>
        </w:rPr>
      </w:r>
    </w:p>
    <w:p>
      <w:pPr>
        <w:pStyle w:val="Normal"/>
        <w:spacing w:before="0" w:after="0"/>
        <w:rPr/>
      </w:pPr>
      <w:r>
        <w:rPr>
          <w:sz w:val="24"/>
          <w:szCs w:val="24"/>
          <w:lang w:val="en-US"/>
        </w:rPr>
        <w:t>Volunteers below the age of 18 shall be assigned to the NAMFREL Chapter in the city or municipality of his residence.  They shall receive guidance from the NAMFREL Chapter Chairperson.</w:t>
      </w:r>
    </w:p>
    <w:p>
      <w:pPr>
        <w:pStyle w:val="Normal"/>
        <w:spacing w:before="0" w:after="0"/>
        <w:rPr>
          <w:sz w:val="24"/>
          <w:szCs w:val="24"/>
          <w:lang w:val="en-US"/>
        </w:rPr>
      </w:pPr>
      <w:r>
        <w:rPr>
          <w:sz w:val="24"/>
          <w:szCs w:val="24"/>
          <w:lang w:val="en-US"/>
        </w:rPr>
      </w:r>
    </w:p>
    <w:p>
      <w:pPr>
        <w:pStyle w:val="Normal"/>
        <w:spacing w:before="0" w:after="0"/>
        <w:rPr/>
      </w:pPr>
      <w:r>
        <w:rPr>
          <w:sz w:val="24"/>
          <w:szCs w:val="24"/>
          <w:lang w:val="en-US"/>
        </w:rPr>
        <w:t>Volunteers below the age of 18 may be deployed to a site where an election related activity is being conducted to observe said activity, but they shall be assigned to and at all times be accompanied by an adult volunteer.  Their place of deployment shall be limited to the city or municipality where they reside.</w:t>
      </w:r>
    </w:p>
    <w:p>
      <w:pPr>
        <w:pStyle w:val="Normal"/>
        <w:spacing w:before="0" w:after="0"/>
        <w:rPr>
          <w:sz w:val="24"/>
          <w:szCs w:val="24"/>
          <w:lang w:val="en-US"/>
        </w:rPr>
      </w:pPr>
      <w:r>
        <w:rPr>
          <w:sz w:val="24"/>
          <w:szCs w:val="24"/>
          <w:lang w:val="en-US"/>
        </w:rPr>
      </w:r>
    </w:p>
    <w:p>
      <w:pPr>
        <w:pStyle w:val="Normal"/>
        <w:spacing w:before="0" w:after="0"/>
        <w:rPr/>
      </w:pPr>
      <w:r>
        <w:rPr>
          <w:sz w:val="24"/>
          <w:szCs w:val="24"/>
          <w:lang w:val="en-US"/>
        </w:rPr>
        <w:t>At the time of their application, volunteers shall consent</w:t>
      </w:r>
      <w:r>
        <w:rPr>
          <w:rStyle w:val="FootnoteAnchor"/>
          <w:sz w:val="24"/>
          <w:szCs w:val="24"/>
          <w:lang w:val="en-US"/>
        </w:rPr>
        <w:footnoteReference w:id="4"/>
      </w:r>
      <w:r>
        <w:rPr>
          <w:sz w:val="24"/>
          <w:szCs w:val="24"/>
          <w:lang w:val="en-US"/>
        </w:rPr>
        <w:t xml:space="preserve"> to the processing of their personal information, namely, their names, ages</w:t>
      </w:r>
      <w:r>
        <w:rPr>
          <w:rStyle w:val="FootnoteAnchor"/>
          <w:sz w:val="24"/>
          <w:szCs w:val="24"/>
          <w:lang w:val="en-US"/>
        </w:rPr>
        <w:footnoteReference w:id="5"/>
      </w:r>
      <w:r>
        <w:rPr>
          <w:sz w:val="24"/>
          <w:szCs w:val="24"/>
          <w:lang w:val="en-US"/>
        </w:rPr>
        <w:t>, addresses, and contact information, in compliance with the Data Privacy Act. The processing of such information is necessary for the designation of tasks to be conducted by said</w:t>
      </w:r>
      <w:r>
        <w:rPr>
          <w:rFonts w:eastAsia="Calibri"/>
          <w:sz w:val="24"/>
          <w:szCs w:val="24"/>
          <w:lang w:val="en-US"/>
        </w:rPr>
        <w:t xml:space="preserve"> volunteer</w:t>
      </w:r>
      <w:r>
        <w:rPr>
          <w:sz w:val="24"/>
          <w:szCs w:val="24"/>
          <w:lang w:val="en-US"/>
        </w:rPr>
        <w:t xml:space="preserve">, for the assignment of such </w:t>
      </w:r>
      <w:r>
        <w:rPr>
          <w:rFonts w:eastAsia="Calibri"/>
          <w:sz w:val="24"/>
          <w:szCs w:val="24"/>
          <w:lang w:val="en-US"/>
        </w:rPr>
        <w:t>volunteer</w:t>
      </w:r>
      <w:r>
        <w:rPr>
          <w:sz w:val="24"/>
          <w:szCs w:val="24"/>
          <w:lang w:val="en-US"/>
        </w:rPr>
        <w:t xml:space="preserve"> to the NAMFREL Chapter covering their place of residence and to their place of deployment, and for contacting said </w:t>
      </w:r>
      <w:r>
        <w:rPr>
          <w:rFonts w:eastAsia="Calibri"/>
          <w:sz w:val="24"/>
          <w:szCs w:val="24"/>
          <w:lang w:val="en-US"/>
        </w:rPr>
        <w:t>volunteer</w:t>
      </w:r>
      <w:r>
        <w:rPr>
          <w:sz w:val="24"/>
          <w:szCs w:val="24"/>
          <w:lang w:val="en-US"/>
        </w:rPr>
        <w:t xml:space="preserve"> for updates or in cases of emergencies. </w:t>
      </w:r>
    </w:p>
    <w:p>
      <w:pPr>
        <w:pStyle w:val="Normal"/>
        <w:spacing w:before="0" w:after="0"/>
        <w:rPr>
          <w:sz w:val="24"/>
          <w:szCs w:val="24"/>
          <w:lang w:val="en-US"/>
        </w:rPr>
      </w:pPr>
      <w:r>
        <w:rPr>
          <w:sz w:val="24"/>
          <w:szCs w:val="24"/>
          <w:lang w:val="en-US"/>
        </w:rPr>
      </w:r>
    </w:p>
    <w:p>
      <w:pPr>
        <w:pStyle w:val="Normal"/>
        <w:spacing w:before="0" w:after="0"/>
        <w:rPr/>
      </w:pPr>
      <w:r>
        <w:rPr>
          <w:sz w:val="24"/>
          <w:szCs w:val="24"/>
          <w:lang w:val="en-US"/>
        </w:rPr>
        <w:t>Volunteers also consent to the processing of the information quoted below from COMELEC Resolution No. 10727. This is necessary so that they may be deployed to the proper polling places as watchers of NAMFREL.</w:t>
      </w:r>
    </w:p>
    <w:p>
      <w:pPr>
        <w:pStyle w:val="Normal"/>
        <w:spacing w:before="0" w:after="0"/>
        <w:rPr>
          <w:sz w:val="24"/>
          <w:szCs w:val="24"/>
          <w:lang w:val="en-US"/>
        </w:rPr>
      </w:pPr>
      <w:r>
        <w:rPr>
          <w:sz w:val="24"/>
          <w:szCs w:val="24"/>
          <w:lang w:val="en-US"/>
        </w:rPr>
      </w:r>
    </w:p>
    <w:p>
      <w:pPr>
        <w:pStyle w:val="Normal"/>
        <w:spacing w:before="0" w:after="0"/>
        <w:ind w:left="720" w:hanging="0"/>
        <w:rPr/>
      </w:pPr>
      <w:r>
        <w:rPr>
          <w:rFonts w:eastAsia="Calibri"/>
          <w:sz w:val="24"/>
          <w:szCs w:val="24"/>
          <w:lang w:val="en-US"/>
        </w:rPr>
        <w:t>“</w:t>
      </w:r>
      <w:r>
        <w:rPr>
          <w:b/>
          <w:bCs/>
          <w:sz w:val="24"/>
          <w:szCs w:val="24"/>
          <w:lang w:val="en-US"/>
        </w:rPr>
        <w:t>Sec. 46. Qualifications of watchers</w:t>
      </w:r>
      <w:r>
        <w:rPr>
          <w:sz w:val="24"/>
          <w:szCs w:val="24"/>
          <w:lang w:val="en-US"/>
        </w:rPr>
        <w:t xml:space="preserve"> – No person shall be appointed as a watcher unless said person:</w:t>
      </w:r>
    </w:p>
    <w:p>
      <w:pPr>
        <w:pStyle w:val="Normal"/>
        <w:spacing w:before="0" w:after="0"/>
        <w:ind w:left="720" w:hanging="0"/>
        <w:rPr>
          <w:sz w:val="24"/>
          <w:szCs w:val="24"/>
          <w:lang w:val="en-US"/>
        </w:rPr>
      </w:pPr>
      <w:r>
        <w:rPr>
          <w:sz w:val="24"/>
          <w:szCs w:val="24"/>
          <w:lang w:val="en-US"/>
        </w:rPr>
      </w:r>
    </w:p>
    <w:p>
      <w:pPr>
        <w:pStyle w:val="Normal"/>
        <w:spacing w:before="0" w:after="0"/>
        <w:ind w:left="1440" w:hanging="0"/>
        <w:rPr/>
      </w:pPr>
      <w:r>
        <w:rPr>
          <w:sz w:val="24"/>
          <w:szCs w:val="24"/>
          <w:lang w:val="en-US"/>
        </w:rPr>
        <w:t>a. Is a registered voter of the city or municipality where such person is assigned;</w:t>
      </w:r>
    </w:p>
    <w:p>
      <w:pPr>
        <w:pStyle w:val="Normal"/>
        <w:spacing w:before="0" w:after="0"/>
        <w:ind w:left="1440" w:hanging="0"/>
        <w:rPr>
          <w:sz w:val="24"/>
          <w:szCs w:val="24"/>
          <w:lang w:val="en-US"/>
        </w:rPr>
      </w:pPr>
      <w:r>
        <w:rPr>
          <w:sz w:val="24"/>
          <w:szCs w:val="24"/>
          <w:lang w:val="en-US"/>
        </w:rPr>
      </w:r>
    </w:p>
    <w:p>
      <w:pPr>
        <w:pStyle w:val="Normal"/>
        <w:spacing w:before="0" w:after="0"/>
        <w:ind w:left="1440" w:hanging="0"/>
        <w:rPr/>
      </w:pPr>
      <w:r>
        <w:rPr>
          <w:sz w:val="24"/>
          <w:szCs w:val="24"/>
          <w:lang w:val="en-US"/>
        </w:rPr>
        <w:t>b. Is of good moral character;</w:t>
      </w:r>
    </w:p>
    <w:p>
      <w:pPr>
        <w:pStyle w:val="Normal"/>
        <w:spacing w:before="0" w:after="0"/>
        <w:ind w:left="1440" w:hanging="0"/>
        <w:rPr>
          <w:sz w:val="24"/>
          <w:szCs w:val="24"/>
          <w:lang w:val="en-US"/>
        </w:rPr>
      </w:pPr>
      <w:r>
        <w:rPr>
          <w:sz w:val="24"/>
          <w:szCs w:val="24"/>
          <w:lang w:val="en-US"/>
        </w:rPr>
      </w:r>
    </w:p>
    <w:p>
      <w:pPr>
        <w:pStyle w:val="Normal"/>
        <w:spacing w:before="0" w:after="0"/>
        <w:ind w:left="1440" w:hanging="0"/>
        <w:rPr/>
      </w:pPr>
      <w:r>
        <w:rPr>
          <w:sz w:val="24"/>
          <w:szCs w:val="24"/>
          <w:lang w:val="en-US"/>
        </w:rPr>
        <w:t>c. Has not have been convicted by final judgment of any election offense or of any other crime;</w:t>
      </w:r>
    </w:p>
    <w:p>
      <w:pPr>
        <w:pStyle w:val="Normal"/>
        <w:spacing w:before="0" w:after="0"/>
        <w:ind w:left="1440" w:hanging="0"/>
        <w:rPr>
          <w:sz w:val="24"/>
          <w:szCs w:val="24"/>
          <w:lang w:val="en-US"/>
        </w:rPr>
      </w:pPr>
      <w:r>
        <w:rPr>
          <w:sz w:val="24"/>
          <w:szCs w:val="24"/>
          <w:lang w:val="en-US"/>
        </w:rPr>
      </w:r>
    </w:p>
    <w:p>
      <w:pPr>
        <w:pStyle w:val="Normal"/>
        <w:spacing w:before="0" w:after="0"/>
        <w:ind w:left="1440" w:hanging="0"/>
        <w:rPr/>
      </w:pPr>
      <w:r>
        <w:rPr>
          <w:sz w:val="24"/>
          <w:szCs w:val="24"/>
          <w:lang w:val="en-US"/>
        </w:rPr>
        <w:t>d. Knows how to read and write Filipino, English or the prevailing local dialect; and</w:t>
      </w:r>
    </w:p>
    <w:p>
      <w:pPr>
        <w:pStyle w:val="Normal"/>
        <w:spacing w:before="0" w:after="0"/>
        <w:ind w:left="1440" w:hanging="0"/>
        <w:rPr>
          <w:sz w:val="24"/>
          <w:szCs w:val="24"/>
          <w:lang w:val="en-US"/>
        </w:rPr>
      </w:pPr>
      <w:r>
        <w:rPr>
          <w:sz w:val="24"/>
          <w:szCs w:val="24"/>
          <w:lang w:val="en-US"/>
        </w:rPr>
      </w:r>
    </w:p>
    <w:p>
      <w:pPr>
        <w:pStyle w:val="Normal"/>
        <w:spacing w:before="0" w:after="0"/>
        <w:ind w:left="1440" w:hanging="0"/>
        <w:rPr/>
      </w:pPr>
      <w:r>
        <w:rPr>
          <w:sz w:val="24"/>
          <w:szCs w:val="24"/>
          <w:lang w:val="en-US"/>
        </w:rPr>
        <w:t>e. Is not related within the fourth civil degree of consanguinity or affinity to the chairperson, or any other member of the [Electoral Board] in the polling place where such person seeks appointment as a watcher.</w:t>
      </w:r>
      <w:r>
        <w:rPr>
          <w:rFonts w:eastAsia="Calibri"/>
          <w:sz w:val="24"/>
          <w:szCs w:val="24"/>
          <w:lang w:val="en-US"/>
        </w:rPr>
        <w:t>”</w:t>
      </w:r>
      <w:r>
        <w:rPr>
          <w:rStyle w:val="FootnoteAnchor"/>
          <w:rFonts w:eastAsia="Calibri"/>
          <w:sz w:val="24"/>
          <w:szCs w:val="24"/>
          <w:lang w:val="en-US"/>
        </w:rPr>
        <w:footnoteReference w:id="6"/>
      </w:r>
    </w:p>
    <w:p>
      <w:pPr>
        <w:pStyle w:val="Normal"/>
        <w:spacing w:before="0" w:after="0"/>
        <w:rPr>
          <w:sz w:val="24"/>
          <w:szCs w:val="24"/>
          <w:lang w:val="en-US"/>
        </w:rPr>
      </w:pPr>
      <w:r>
        <w:rPr>
          <w:sz w:val="24"/>
          <w:szCs w:val="24"/>
          <w:lang w:val="en-US"/>
        </w:rPr>
      </w:r>
    </w:p>
    <w:p>
      <w:pPr>
        <w:pStyle w:val="Normal"/>
        <w:spacing w:before="0" w:after="0"/>
        <w:rPr/>
      </w:pPr>
      <w:r>
        <w:rPr>
          <w:sz w:val="24"/>
          <w:szCs w:val="24"/>
          <w:lang w:val="en-US"/>
        </w:rPr>
        <w:t xml:space="preserve">Volunteers also consent to the taking of their photographs while doing observation work to a site where an election related activity is being conducted. These photographs will be used by NAMFREL for documentation purposes of its operations, to be shown to donors, member- and partner-organizations, to other relevant institutions, and to the general public. Consent shall subsist from the time of application, to the end of the election period, unless sooner withdrawn by the volunteer. For minors, consent must be given by their parents. </w:t>
      </w:r>
    </w:p>
    <w:p>
      <w:pPr>
        <w:pStyle w:val="Normal"/>
        <w:spacing w:before="0" w:after="0"/>
        <w:rPr>
          <w:sz w:val="24"/>
          <w:szCs w:val="24"/>
          <w:lang w:val="en-US"/>
        </w:rPr>
      </w:pPr>
      <w:r>
        <w:rPr>
          <w:sz w:val="24"/>
          <w:szCs w:val="24"/>
          <w:lang w:val="en-US"/>
        </w:rPr>
      </w:r>
    </w:p>
    <w:p>
      <w:pPr>
        <w:pStyle w:val="Normal"/>
        <w:spacing w:before="0" w:after="0"/>
        <w:rPr/>
      </w:pPr>
      <w:r>
        <w:rPr>
          <w:sz w:val="24"/>
          <w:szCs w:val="24"/>
          <w:lang w:val="en-US"/>
        </w:rPr>
        <w:t xml:space="preserve">The rights of volunteers as data subjects under the Data Privacy Act are detailed in </w:t>
      </w:r>
      <w:hyperlink r:id="rId2">
        <w:r>
          <w:rPr>
            <w:rStyle w:val="InternetLink"/>
            <w:sz w:val="24"/>
            <w:szCs w:val="24"/>
            <w:lang w:val="en-US"/>
          </w:rPr>
          <w:t>NAMFREL’s privacy policy</w:t>
        </w:r>
      </w:hyperlink>
      <w:r>
        <w:rPr>
          <w:sz w:val="24"/>
          <w:szCs w:val="24"/>
          <w:lang w:val="en-US"/>
        </w:rPr>
        <w:t xml:space="preserve">. </w:t>
      </w:r>
    </w:p>
    <w:p>
      <w:pPr>
        <w:pStyle w:val="Normal"/>
        <w:spacing w:before="0" w:after="0"/>
        <w:rPr>
          <w:sz w:val="24"/>
          <w:szCs w:val="24"/>
          <w:lang w:val="en-US"/>
        </w:rPr>
      </w:pPr>
      <w:r>
        <w:rPr>
          <w:sz w:val="24"/>
          <w:szCs w:val="24"/>
          <w:lang w:val="en-US"/>
        </w:rPr>
      </w:r>
    </w:p>
    <w:p>
      <w:pPr>
        <w:pStyle w:val="Normal"/>
        <w:spacing w:before="0" w:after="0"/>
        <w:rPr>
          <w:sz w:val="24"/>
          <w:szCs w:val="24"/>
          <w:lang w:val="en-US"/>
        </w:rPr>
      </w:pPr>
      <w:r>
        <w:rPr>
          <w:sz w:val="24"/>
          <w:szCs w:val="24"/>
          <w:lang w:val="en-US"/>
        </w:rPr>
      </w:r>
    </w:p>
    <w:p>
      <w:pPr>
        <w:pStyle w:val="Normal"/>
        <w:spacing w:before="0" w:after="0"/>
        <w:rPr>
          <w:sz w:val="24"/>
          <w:szCs w:val="24"/>
          <w:lang w:val="en-US"/>
        </w:rPr>
      </w:pPr>
      <w:r>
        <w:rPr>
          <w:sz w:val="24"/>
          <w:szCs w:val="24"/>
          <w:lang w:val="en-US"/>
        </w:rPr>
      </w:r>
    </w:p>
    <w:p>
      <w:pPr>
        <w:pStyle w:val="Normal"/>
        <w:spacing w:before="0" w:after="0"/>
        <w:rPr>
          <w:sz w:val="24"/>
          <w:szCs w:val="24"/>
          <w:lang w:val="en-US"/>
        </w:rPr>
      </w:pPr>
      <w:r>
        <w:rPr>
          <w:sz w:val="24"/>
          <w:szCs w:val="24"/>
          <w:lang w:val="en-US"/>
        </w:rPr>
      </w:r>
    </w:p>
    <w:p>
      <w:pPr>
        <w:pStyle w:val="Normal"/>
        <w:spacing w:lineRule="auto" w:line="240" w:before="0" w:after="0"/>
        <w:rPr/>
      </w:pPr>
      <w:r>
        <w:rPr/>
      </w:r>
      <w:r>
        <w:br w:type="page"/>
      </w:r>
    </w:p>
    <w:p>
      <w:pPr>
        <w:pStyle w:val="CM31"/>
        <w:spacing w:lineRule="atLeast" w:line="280" w:before="0" w:after="0"/>
        <w:jc w:val="center"/>
        <w:rPr/>
      </w:pPr>
      <w:r>
        <w:rPr>
          <w:rFonts w:cs="Calibri" w:ascii="Calibri" w:hAnsi="Calibri"/>
          <w:b/>
          <w:color w:val="221E1F"/>
          <w:sz w:val="28"/>
          <w:szCs w:val="28"/>
        </w:rPr>
        <w:t>National Citizens’ Movement for Free Elections</w:t>
      </w:r>
    </w:p>
    <w:p>
      <w:pPr>
        <w:pStyle w:val="Normal"/>
        <w:jc w:val="center"/>
        <w:rPr/>
      </w:pPr>
      <w:r>
        <w:rPr>
          <w:rFonts w:cs="Calibri"/>
          <w:b/>
          <w:sz w:val="28"/>
          <w:szCs w:val="28"/>
        </w:rPr>
        <w:t>Youth Volunteer</w:t>
      </w:r>
    </w:p>
    <w:p>
      <w:pPr>
        <w:pStyle w:val="CM31"/>
        <w:spacing w:lineRule="atLeast" w:line="280" w:before="0" w:after="0"/>
        <w:jc w:val="center"/>
        <w:rPr/>
      </w:pPr>
      <w:r>
        <w:rPr>
          <w:rFonts w:cs="Calibri" w:ascii="Calibri" w:hAnsi="Calibri"/>
          <w:b/>
          <w:color w:val="221E1F"/>
          <w:sz w:val="28"/>
          <w:szCs w:val="28"/>
        </w:rPr>
        <w:t>Parent’s/Guardian’s Consent Form</w:t>
      </w:r>
    </w:p>
    <w:p>
      <w:pPr>
        <w:pStyle w:val="CM31"/>
        <w:spacing w:lineRule="atLeast" w:line="280" w:before="0" w:after="0"/>
        <w:rPr>
          <w:rFonts w:ascii="Calibri" w:hAnsi="Calibri" w:cs="Calibri"/>
          <w:b/>
          <w:b/>
          <w:color w:val="221E1F"/>
          <w:sz w:val="28"/>
          <w:szCs w:val="28"/>
        </w:rPr>
      </w:pPr>
      <w:r>
        <w:rPr>
          <w:rFonts w:cs="Calibri" w:ascii="Calibri" w:hAnsi="Calibri"/>
          <w:b/>
          <w:color w:val="221E1F"/>
          <w:sz w:val="28"/>
          <w:szCs w:val="28"/>
        </w:rPr>
      </w:r>
    </w:p>
    <w:p>
      <w:pPr>
        <w:pStyle w:val="Normal"/>
        <w:rPr>
          <w:rFonts w:ascii="Calibri" w:hAnsi="Calibri" w:cs="Calibri"/>
          <w:bCs/>
          <w:color w:val="221E1F"/>
          <w:sz w:val="24"/>
          <w:szCs w:val="24"/>
        </w:rPr>
      </w:pPr>
      <w:r>
        <w:rPr>
          <w:rFonts w:cs="Calibri"/>
          <w:bCs/>
          <w:color w:val="221E1F"/>
          <w:sz w:val="24"/>
          <w:szCs w:val="24"/>
        </w:rPr>
        <w:t>Name of Child _________________________________   Date of Birth ________________</w:t>
      </w:r>
    </w:p>
    <w:p>
      <w:pPr>
        <w:pStyle w:val="Normal"/>
        <w:rPr>
          <w:rFonts w:ascii="Calibri" w:hAnsi="Calibri" w:cs="Calibri"/>
          <w:bCs/>
          <w:color w:val="221E1F"/>
          <w:sz w:val="24"/>
          <w:szCs w:val="24"/>
        </w:rPr>
      </w:pPr>
      <w:r>
        <w:rPr>
          <w:rFonts w:cs="Calibri"/>
          <w:bCs/>
          <w:color w:val="221E1F"/>
          <w:sz w:val="24"/>
          <w:szCs w:val="24"/>
        </w:rPr>
        <w:t>Name of Parent/ Guardian ___________________________________________________</w:t>
      </w:r>
    </w:p>
    <w:p>
      <w:pPr>
        <w:pStyle w:val="Normal"/>
        <w:rPr>
          <w:rFonts w:ascii="Calibri" w:hAnsi="Calibri" w:cs="Calibri"/>
          <w:bCs/>
          <w:color w:val="221E1F"/>
          <w:sz w:val="24"/>
          <w:szCs w:val="24"/>
        </w:rPr>
      </w:pPr>
      <w:r>
        <w:rPr>
          <w:rFonts w:cs="Calibri"/>
          <w:bCs/>
          <w:color w:val="221E1F"/>
          <w:sz w:val="24"/>
          <w:szCs w:val="24"/>
        </w:rPr>
        <w:t xml:space="preserve">Address </w:t>
        <w:tab/>
        <w:t>_____________________________________________________________</w:t>
      </w:r>
    </w:p>
    <w:p>
      <w:pPr>
        <w:pStyle w:val="Normal"/>
        <w:rPr>
          <w:rFonts w:ascii="Calibri" w:hAnsi="Calibri" w:cs="Calibri"/>
          <w:bCs/>
          <w:color w:val="221E1F"/>
          <w:sz w:val="24"/>
          <w:szCs w:val="24"/>
        </w:rPr>
      </w:pPr>
      <w:r>
        <w:rPr>
          <w:rFonts w:cs="Calibri"/>
          <w:bCs/>
          <w:color w:val="221E1F"/>
          <w:sz w:val="24"/>
          <w:szCs w:val="24"/>
        </w:rPr>
        <w:tab/>
        <w:tab/>
        <w:t>_____________________________________________________________</w:t>
      </w:r>
    </w:p>
    <w:p>
      <w:pPr>
        <w:pStyle w:val="Normal"/>
        <w:rPr>
          <w:rFonts w:ascii="Calibri" w:hAnsi="Calibri" w:cs="Calibri"/>
          <w:bCs/>
          <w:color w:val="221E1F"/>
          <w:sz w:val="24"/>
          <w:szCs w:val="24"/>
        </w:rPr>
      </w:pPr>
      <w:r>
        <w:rPr>
          <w:rFonts w:cs="Calibri"/>
          <w:bCs/>
          <w:color w:val="221E1F"/>
          <w:sz w:val="24"/>
          <w:szCs w:val="24"/>
        </w:rPr>
        <w:t>Parent’s / Guardian’s Contact Information:</w:t>
        <w:br/>
        <w:t>Telephone Number</w:t>
        <w:tab/>
        <w:t>_______________________________________________________</w:t>
      </w:r>
    </w:p>
    <w:p>
      <w:pPr>
        <w:pStyle w:val="Normal"/>
        <w:rPr>
          <w:rFonts w:ascii="Calibri" w:hAnsi="Calibri" w:cs="Calibri"/>
          <w:bCs/>
          <w:color w:val="221E1F"/>
          <w:sz w:val="24"/>
          <w:szCs w:val="24"/>
        </w:rPr>
      </w:pPr>
      <w:r>
        <w:rPr>
          <w:rFonts w:cs="Calibri"/>
          <w:bCs/>
          <w:color w:val="221E1F"/>
          <w:sz w:val="24"/>
          <w:szCs w:val="24"/>
        </w:rPr>
        <w:t>Mobile Number</w:t>
        <w:tab/>
        <w:t>_______________________________________________________</w:t>
      </w:r>
    </w:p>
    <w:p>
      <w:pPr>
        <w:pStyle w:val="Normal"/>
        <w:rPr>
          <w:rFonts w:ascii="Calibri" w:hAnsi="Calibri" w:cs="Calibri"/>
          <w:bCs/>
          <w:color w:val="221E1F"/>
          <w:sz w:val="24"/>
          <w:szCs w:val="24"/>
        </w:rPr>
      </w:pPr>
      <w:r>
        <w:rPr>
          <w:rFonts w:cs="Calibri"/>
          <w:bCs/>
          <w:color w:val="221E1F"/>
          <w:sz w:val="24"/>
          <w:szCs w:val="24"/>
        </w:rPr>
        <w:t>E-mail</w:t>
        <w:tab/>
        <w:tab/>
        <w:tab/>
        <w:t>_______________________________________________________</w:t>
      </w:r>
    </w:p>
    <w:p>
      <w:pPr>
        <w:pStyle w:val="CM31"/>
        <w:spacing w:lineRule="atLeast" w:line="280" w:before="0" w:after="0"/>
        <w:rPr/>
      </w:pPr>
      <w:r>
        <w:rPr>
          <w:rFonts w:cs="Calibri" w:ascii="Calibri" w:hAnsi="Calibri"/>
          <w:color w:val="221E1F"/>
        </w:rPr>
        <w:t>I am familiar with the National Citizens’ Movement for Free Elections (NAMFREL) and its activities during election period, including observing election related activities before, during, and after election day.</w:t>
      </w:r>
    </w:p>
    <w:p>
      <w:pPr>
        <w:pStyle w:val="CM31"/>
        <w:spacing w:lineRule="atLeast" w:line="280" w:before="0" w:after="0"/>
        <w:rPr>
          <w:rFonts w:ascii="Calibri" w:hAnsi="Calibri" w:cs="Calibri"/>
          <w:color w:val="221E1F"/>
        </w:rPr>
      </w:pPr>
      <w:r>
        <w:rPr>
          <w:rFonts w:cs="Calibri" w:ascii="Calibri" w:hAnsi="Calibri"/>
          <w:color w:val="221E1F"/>
        </w:rPr>
      </w:r>
    </w:p>
    <w:p>
      <w:pPr>
        <w:pStyle w:val="CM31"/>
        <w:spacing w:lineRule="atLeast" w:line="280" w:before="0" w:after="0"/>
        <w:rPr/>
      </w:pPr>
      <w:r>
        <w:rPr>
          <w:rFonts w:cs="Calibri" w:ascii="Calibri" w:hAnsi="Calibri"/>
          <w:color w:val="221E1F"/>
        </w:rPr>
        <w:t>I am aware that NAMFREL encourages youth participation in civic activities, in particular, in elections.</w:t>
      </w:r>
    </w:p>
    <w:p>
      <w:pPr>
        <w:pStyle w:val="CM31"/>
        <w:spacing w:lineRule="atLeast" w:line="280" w:before="0" w:after="0"/>
        <w:rPr>
          <w:rFonts w:ascii="Calibri" w:hAnsi="Calibri" w:cs="Calibri"/>
          <w:color w:val="221E1F"/>
        </w:rPr>
      </w:pPr>
      <w:r>
        <w:rPr>
          <w:rFonts w:cs="Calibri" w:ascii="Calibri" w:hAnsi="Calibri"/>
          <w:color w:val="221E1F"/>
        </w:rPr>
      </w:r>
    </w:p>
    <w:p>
      <w:pPr>
        <w:pStyle w:val="CM31"/>
        <w:spacing w:lineRule="atLeast" w:line="280" w:before="0" w:after="0"/>
        <w:rPr/>
      </w:pPr>
      <w:r>
        <w:rPr>
          <w:rFonts w:cs="Calibri" w:ascii="Calibri" w:hAnsi="Calibri"/>
          <w:color w:val="221E1F"/>
        </w:rPr>
        <w:t>I am aware that NAMFREL assigns its volunteers to polling precincts and other locations where election related activities are held.</w:t>
      </w:r>
    </w:p>
    <w:p>
      <w:pPr>
        <w:pStyle w:val="CM31"/>
        <w:spacing w:lineRule="atLeast" w:line="280" w:before="0" w:after="0"/>
        <w:rPr>
          <w:rFonts w:ascii="Calibri" w:hAnsi="Calibri" w:cs="Calibri"/>
          <w:color w:val="221E1F"/>
        </w:rPr>
      </w:pPr>
      <w:r>
        <w:rPr>
          <w:rFonts w:cs="Calibri" w:ascii="Calibri" w:hAnsi="Calibri"/>
          <w:color w:val="221E1F"/>
        </w:rPr>
      </w:r>
    </w:p>
    <w:p>
      <w:pPr>
        <w:pStyle w:val="CM31"/>
        <w:spacing w:lineRule="atLeast" w:line="280" w:before="0" w:after="0"/>
        <w:rPr/>
      </w:pPr>
      <w:r>
        <w:rPr>
          <w:rFonts w:cs="Calibri" w:ascii="Calibri" w:hAnsi="Calibri"/>
          <w:color w:val="221E1F"/>
        </w:rPr>
        <w:t>I have read NAMFREL’s policy on youth volunteers as well as its privacy policy.</w:t>
      </w:r>
    </w:p>
    <w:p>
      <w:pPr>
        <w:pStyle w:val="CM31"/>
        <w:spacing w:lineRule="atLeast" w:line="280" w:before="0" w:after="0"/>
        <w:rPr>
          <w:rFonts w:ascii="Calibri" w:hAnsi="Calibri" w:cs="Calibri"/>
          <w:color w:val="221E1F"/>
        </w:rPr>
      </w:pPr>
      <w:r>
        <w:rPr>
          <w:rFonts w:cs="Calibri" w:ascii="Calibri" w:hAnsi="Calibri"/>
          <w:color w:val="221E1F"/>
        </w:rPr>
      </w:r>
    </w:p>
    <w:p>
      <w:pPr>
        <w:pStyle w:val="CM31"/>
        <w:spacing w:lineRule="atLeast" w:line="280" w:before="0" w:after="0"/>
        <w:rPr/>
      </w:pPr>
      <w:r>
        <w:rPr>
          <w:rFonts w:cs="Calibri" w:ascii="Calibri" w:hAnsi="Calibri"/>
          <w:color w:val="221E1F"/>
        </w:rPr>
        <w:t>I confirm to the best of my knowledge that my son/daughter does not suffer from any medical condition or allergies other than those listed below:</w:t>
      </w:r>
    </w:p>
    <w:p>
      <w:pPr>
        <w:pStyle w:val="Normal"/>
        <w:spacing w:lineRule="atLeast" w:line="280" w:before="0" w:after="0"/>
        <w:rPr>
          <w:rFonts w:ascii="Calibri" w:hAnsi="Calibri" w:cs="Calibri"/>
          <w:color w:val="221E1F"/>
        </w:rPr>
      </w:pPr>
      <w:r>
        <w:rPr/>
      </w:r>
    </w:p>
    <w:tbl>
      <w:tblPr>
        <w:tblW w:w="890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166"/>
        <w:gridCol w:w="2745"/>
        <w:gridCol w:w="2995"/>
      </w:tblGrid>
      <w:tr>
        <w:trPr/>
        <w:tc>
          <w:tcPr>
            <w:tcW w:w="31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rPr>
            </w:pPr>
            <w:r>
              <w:rPr>
                <w:rFonts w:cs="Calibri"/>
                <w:b/>
                <w:bCs/>
              </w:rPr>
              <w:t>Medical Conditions / Allergies</w:t>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rFonts w:cs="Calibri"/>
                <w:b/>
                <w:bCs/>
              </w:rPr>
              <w:t>Medication and Dosage</w:t>
            </w:r>
          </w:p>
        </w:tc>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pPr>
            <w:r>
              <w:rPr>
                <w:rFonts w:cs="Calibri"/>
                <w:b/>
                <w:bCs/>
              </w:rPr>
              <w:t>Administration</w:t>
            </w:r>
          </w:p>
        </w:tc>
      </w:tr>
      <w:tr>
        <w:trPr/>
        <w:tc>
          <w:tcPr>
            <w:tcW w:w="3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w:hAnsi="Calibri" w:cs="Calibri"/>
                <w:b/>
                <w:b/>
                <w:bCs/>
              </w:rPr>
            </w:pPr>
            <w:r>
              <w:rPr>
                <w:rFonts w:cs="Calibri"/>
                <w:b/>
                <w:bCs/>
              </w:rPr>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w:hAnsi="Calibri" w:cs="Calibri"/>
                <w:b/>
                <w:b/>
                <w:bCs/>
              </w:rPr>
            </w:pPr>
            <w:r>
              <w:rPr>
                <w:rFonts w:cs="Calibri"/>
                <w:b/>
                <w:bCs/>
              </w:rPr>
            </w:r>
          </w:p>
        </w:tc>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w:hAnsi="Calibri" w:cs="Calibri"/>
                <w:b/>
                <w:b/>
                <w:bCs/>
              </w:rPr>
            </w:pPr>
            <w:r>
              <w:rPr>
                <w:rFonts w:cs="Calibri"/>
                <w:b/>
                <w:bCs/>
              </w:rPr>
            </w:r>
          </w:p>
        </w:tc>
      </w:tr>
      <w:tr>
        <w:trPr/>
        <w:tc>
          <w:tcPr>
            <w:tcW w:w="3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w:hAnsi="Calibri" w:cs="Calibri"/>
                <w:b/>
                <w:b/>
                <w:bCs/>
              </w:rPr>
            </w:pPr>
            <w:r>
              <w:rPr>
                <w:rFonts w:cs="Calibri"/>
                <w:b/>
                <w:bCs/>
              </w:rPr>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r>
      <w:tr>
        <w:trPr/>
        <w:tc>
          <w:tcPr>
            <w:tcW w:w="3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r>
      <w:tr>
        <w:trPr/>
        <w:tc>
          <w:tcPr>
            <w:tcW w:w="3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r>
      <w:tr>
        <w:trPr/>
        <w:tc>
          <w:tcPr>
            <w:tcW w:w="3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r>
      <w:tr>
        <w:trPr/>
        <w:tc>
          <w:tcPr>
            <w:tcW w:w="3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r>
      <w:tr>
        <w:trPr/>
        <w:tc>
          <w:tcPr>
            <w:tcW w:w="31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7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c>
          <w:tcPr>
            <w:tcW w:w="2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pPr>
            <w:r>
              <w:rPr/>
            </w:r>
          </w:p>
        </w:tc>
      </w:tr>
    </w:tbl>
    <w:p>
      <w:pPr>
        <w:pStyle w:val="Normal"/>
        <w:rPr>
          <w:rFonts w:ascii="Calibri" w:hAnsi="Calibri" w:cs="Calibri"/>
        </w:rPr>
      </w:pPr>
      <w:r>
        <w:rPr/>
      </w:r>
    </w:p>
    <w:p>
      <w:pPr>
        <w:pStyle w:val="Normal"/>
        <w:rPr/>
      </w:pPr>
      <w:r>
        <w:rPr>
          <w:rFonts w:cs="Calibri"/>
        </w:rPr>
        <w:t>I am providing the following emergency contact information in case that I cannot be reached:</w:t>
      </w:r>
    </w:p>
    <w:tbl>
      <w:tblPr>
        <w:tblW w:w="890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112"/>
        <w:gridCol w:w="5793"/>
      </w:tblGrid>
      <w:tr>
        <w:trPr/>
        <w:tc>
          <w:tcPr>
            <w:tcW w:w="3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Calibri"/>
              </w:rPr>
              <w:t>Name</w:t>
            </w:r>
          </w:p>
        </w:tc>
        <w:tc>
          <w:tcPr>
            <w:tcW w:w="579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w:hAnsi="Calibri" w:cs="Calibri"/>
              </w:rPr>
            </w:pPr>
            <w:r>
              <w:rPr>
                <w:rFonts w:cs="Calibri"/>
              </w:rPr>
            </w:r>
          </w:p>
        </w:tc>
      </w:tr>
      <w:tr>
        <w:trPr/>
        <w:tc>
          <w:tcPr>
            <w:tcW w:w="3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Calibri"/>
              </w:rPr>
              <w:t>Relationship to Child</w:t>
            </w:r>
          </w:p>
        </w:tc>
        <w:tc>
          <w:tcPr>
            <w:tcW w:w="579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w:hAnsi="Calibri" w:cs="Calibri"/>
              </w:rPr>
            </w:pPr>
            <w:r>
              <w:rPr>
                <w:rFonts w:cs="Calibri"/>
              </w:rPr>
            </w:r>
          </w:p>
        </w:tc>
      </w:tr>
      <w:tr>
        <w:trPr/>
        <w:tc>
          <w:tcPr>
            <w:tcW w:w="31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rPr>
            </w:pPr>
            <w:r>
              <w:rPr>
                <w:rFonts w:cs="Calibri"/>
              </w:rPr>
              <w:t xml:space="preserve">Contact Number </w:t>
            </w:r>
          </w:p>
        </w:tc>
        <w:tc>
          <w:tcPr>
            <w:tcW w:w="579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w:hAnsi="Calibri" w:cs="Calibri"/>
              </w:rPr>
            </w:pPr>
            <w:r>
              <w:rPr>
                <w:rFonts w:cs="Calibri"/>
              </w:rPr>
            </w:r>
          </w:p>
        </w:tc>
      </w:tr>
    </w:tbl>
    <w:p>
      <w:pPr>
        <w:pStyle w:val="Normal"/>
        <w:rPr>
          <w:rFonts w:ascii="Times New Roman" w:hAnsi="Times New Roman" w:cs="Times New Roman"/>
          <w:lang w:val="en-GB" w:eastAsia="zh-CN"/>
        </w:rPr>
      </w:pPr>
      <w:r>
        <w:rPr>
          <w:rFonts w:cs="Times New Roman" w:ascii="Times New Roman" w:hAnsi="Times New Roman"/>
          <w:lang w:val="en-GB" w:eastAsia="zh-CN"/>
        </w:rPr>
      </w:r>
    </w:p>
    <w:p>
      <w:pPr>
        <w:pStyle w:val="Normal"/>
        <w:rPr/>
      </w:pPr>
      <w:r>
        <w:rPr>
          <w:rFonts w:cs="Calibri"/>
        </w:rPr>
        <w:t>I confirm that my child is:</w:t>
      </w:r>
      <w:r>
        <w:rPr>
          <w:rStyle w:val="FootnoteAnchor"/>
          <w:rFonts w:eastAsia="Calibri" w:cs="Calibri"/>
          <w:lang w:val="en-US"/>
        </w:rPr>
        <w:footnoteReference w:id="7"/>
      </w:r>
    </w:p>
    <w:p>
      <w:pPr>
        <w:pStyle w:val="Normal"/>
        <w:rPr/>
      </w:pPr>
      <w:r>
        <w:rPr>
          <w:rFonts w:cs="Calibri"/>
          <w:lang w:val="en-US"/>
        </w:rPr>
        <w:t>1. a registered voter:</w:t>
      </w:r>
    </w:p>
    <w:p>
      <w:pPr>
        <w:pStyle w:val="Normal"/>
        <w:ind w:left="720" w:hanging="0"/>
        <w:rPr>
          <w:rFonts w:ascii="Times New Roman" w:hAnsi="Times New Roman" w:cs="Times New Roman"/>
          <w:lang w:val="en-GB"/>
        </w:rPr>
      </w:pPr>
      <w:r>
        <w:rPr>
          <w:rFonts w:cs="Calibri"/>
          <w:lang w:val="en-US"/>
        </w:rPr>
        <w:t>[ ] YES, registered at: ____________________________________</w:t>
      </w:r>
    </w:p>
    <w:p>
      <w:pPr>
        <w:pStyle w:val="Normal"/>
        <w:ind w:left="720" w:hanging="0"/>
        <w:rPr>
          <w:rFonts w:ascii="Times New Roman" w:hAnsi="Times New Roman" w:cs="Times New Roman"/>
          <w:lang w:val="en-GB"/>
        </w:rPr>
      </w:pPr>
      <w:r>
        <w:rPr>
          <w:rFonts w:cs="Calibri"/>
          <w:lang w:val="en-US"/>
        </w:rPr>
        <w:t>[ ] NO</w:t>
      </w:r>
    </w:p>
    <w:p>
      <w:pPr>
        <w:pStyle w:val="Normal"/>
        <w:rPr>
          <w:rFonts w:ascii="Times New Roman" w:hAnsi="Times New Roman" w:cs="Times New Roman"/>
          <w:lang w:val="en-GB"/>
        </w:rPr>
      </w:pPr>
      <w:r>
        <w:rPr>
          <w:rFonts w:cs="Calibri"/>
          <w:lang w:val="en-US"/>
        </w:rPr>
        <w:t>2. Of good moral character:</w:t>
      </w:r>
    </w:p>
    <w:p>
      <w:pPr>
        <w:pStyle w:val="Normal"/>
        <w:ind w:left="720" w:hanging="0"/>
        <w:rPr>
          <w:rFonts w:ascii="Times New Roman" w:hAnsi="Times New Roman" w:cs="Times New Roman"/>
        </w:rPr>
      </w:pPr>
      <w:r>
        <w:rPr>
          <w:rFonts w:cs="Calibri"/>
          <w:lang w:val="en-US"/>
        </w:rPr>
        <w:t>[ ] YES</w:t>
      </w:r>
    </w:p>
    <w:p>
      <w:pPr>
        <w:pStyle w:val="Normal"/>
        <w:ind w:left="720" w:hanging="0"/>
        <w:rPr>
          <w:rFonts w:ascii="Times New Roman" w:hAnsi="Times New Roman" w:cs="Times New Roman"/>
          <w:lang w:val="en-GB"/>
        </w:rPr>
      </w:pPr>
      <w:r>
        <w:rPr>
          <w:rFonts w:cs="Calibri"/>
          <w:lang w:val="en-US"/>
        </w:rPr>
        <w:t>[ ] NO</w:t>
      </w:r>
    </w:p>
    <w:p>
      <w:pPr>
        <w:pStyle w:val="Normal"/>
        <w:rPr>
          <w:rFonts w:ascii="Times New Roman" w:hAnsi="Times New Roman" w:cs="Times New Roman"/>
          <w:lang w:val="en-GB"/>
        </w:rPr>
      </w:pPr>
      <w:r>
        <w:rPr>
          <w:rFonts w:cs="Calibri"/>
          <w:lang w:val="en-US"/>
        </w:rPr>
        <w:t>3. Has not been convicted by final judgment of any election offense or of any other crime:</w:t>
      </w:r>
    </w:p>
    <w:p>
      <w:pPr>
        <w:pStyle w:val="Normal"/>
        <w:ind w:left="720" w:hanging="0"/>
        <w:rPr>
          <w:rFonts w:ascii="Times New Roman" w:hAnsi="Times New Roman" w:cs="Times New Roman"/>
          <w:lang w:val="en-GB"/>
        </w:rPr>
      </w:pPr>
      <w:r>
        <w:rPr>
          <w:rFonts w:cs="Calibri"/>
          <w:lang w:val="en-US"/>
        </w:rPr>
        <w:t>[ ] YES</w:t>
      </w:r>
    </w:p>
    <w:p>
      <w:pPr>
        <w:pStyle w:val="Normal"/>
        <w:ind w:left="720" w:hanging="0"/>
        <w:rPr>
          <w:rFonts w:ascii="Times New Roman" w:hAnsi="Times New Roman" w:cs="Times New Roman"/>
          <w:lang w:val="en-GB"/>
        </w:rPr>
      </w:pPr>
      <w:r>
        <w:rPr>
          <w:rFonts w:cs="Calibri"/>
          <w:lang w:val="en-US"/>
        </w:rPr>
        <w:t>[ ] NO, convicted of (state case): __________________________________</w:t>
      </w:r>
    </w:p>
    <w:p>
      <w:pPr>
        <w:pStyle w:val="Normal"/>
        <w:rPr>
          <w:rFonts w:ascii="Times New Roman" w:hAnsi="Times New Roman" w:cs="Times New Roman"/>
          <w:lang w:val="en-GB"/>
        </w:rPr>
      </w:pPr>
      <w:r>
        <w:rPr>
          <w:rFonts w:cs="Calibri"/>
          <w:lang w:val="en-US"/>
        </w:rPr>
        <w:t>4. Knows how to read and write Filipino, English or the prevailing local language;</w:t>
      </w:r>
    </w:p>
    <w:p>
      <w:pPr>
        <w:pStyle w:val="Normal"/>
        <w:ind w:left="720" w:hanging="0"/>
        <w:rPr>
          <w:rFonts w:ascii="Times New Roman" w:hAnsi="Times New Roman" w:cs="Times New Roman"/>
        </w:rPr>
      </w:pPr>
      <w:r>
        <w:rPr>
          <w:rFonts w:cs="Calibri"/>
          <w:lang w:val="en-US"/>
        </w:rPr>
        <w:t>[ ] YES, state languages: ______________________________________</w:t>
      </w:r>
    </w:p>
    <w:p>
      <w:pPr>
        <w:pStyle w:val="Normal"/>
        <w:ind w:left="720" w:hanging="0"/>
        <w:rPr>
          <w:rFonts w:ascii="Times New Roman" w:hAnsi="Times New Roman" w:cs="Times New Roman"/>
          <w:lang w:val="en-GB"/>
        </w:rPr>
      </w:pPr>
      <w:r>
        <w:rPr>
          <w:rFonts w:cs="Calibri"/>
          <w:lang w:val="en-US"/>
        </w:rPr>
        <w:t>[ ] NO</w:t>
      </w:r>
    </w:p>
    <w:p>
      <w:pPr>
        <w:pStyle w:val="Normal"/>
        <w:rPr>
          <w:rFonts w:ascii="Times New Roman" w:hAnsi="Times New Roman" w:cs="Times New Roman"/>
        </w:rPr>
      </w:pPr>
      <w:r>
        <w:rPr>
          <w:rFonts w:cs="Calibri"/>
          <w:lang w:val="en-US"/>
        </w:rPr>
        <w:t>5. Is not related within the fourth civil degree of consanguinity or affinity to the chairperson, or any other member of the [Electoral Board] in the polling place where such person seeks appointment as a watcher:</w:t>
      </w:r>
    </w:p>
    <w:p>
      <w:pPr>
        <w:pStyle w:val="Normal"/>
        <w:ind w:left="720" w:hanging="0"/>
        <w:rPr>
          <w:rFonts w:ascii="Times New Roman" w:hAnsi="Times New Roman" w:cs="Times New Roman"/>
        </w:rPr>
      </w:pPr>
      <w:r>
        <w:rPr>
          <w:rFonts w:cs="Calibri"/>
          <w:lang w:val="en-US"/>
        </w:rPr>
        <w:t>[ ] YES</w:t>
      </w:r>
    </w:p>
    <w:p>
      <w:pPr>
        <w:pStyle w:val="Normal"/>
        <w:ind w:left="720" w:hanging="0"/>
        <w:rPr>
          <w:rFonts w:ascii="Times New Roman" w:hAnsi="Times New Roman" w:cs="Times New Roman"/>
          <w:lang w:val="en-GB"/>
        </w:rPr>
      </w:pPr>
      <w:r>
        <w:rPr>
          <w:rFonts w:cs="Calibri"/>
          <w:lang w:val="en-US"/>
        </w:rPr>
        <w:t>[ ] NO, state member of Electoral Board and where such member is assigned: ______________________________________</w:t>
      </w:r>
    </w:p>
    <w:p>
      <w:pPr>
        <w:pStyle w:val="CM31"/>
        <w:spacing w:lineRule="atLeast" w:line="280" w:before="0" w:after="0"/>
        <w:rPr/>
      </w:pPr>
      <w:r>
        <w:rPr>
          <w:rFonts w:cs="Calibri" w:ascii="Calibri" w:hAnsi="Calibri"/>
          <w:b/>
          <w:bCs/>
        </w:rPr>
        <w:t>CONSENT</w:t>
      </w:r>
    </w:p>
    <w:p>
      <w:pPr>
        <w:pStyle w:val="CM31"/>
        <w:spacing w:lineRule="atLeast" w:line="280" w:before="0" w:after="0"/>
        <w:rPr>
          <w:rFonts w:ascii="Calibri" w:hAnsi="Calibri" w:cs="Calibri"/>
          <w:b/>
          <w:b/>
          <w:bCs/>
        </w:rPr>
      </w:pPr>
      <w:r>
        <w:rPr>
          <w:rFonts w:cs="Calibri" w:ascii="Calibri" w:hAnsi="Calibri"/>
          <w:b/>
          <w:bCs/>
        </w:rPr>
      </w:r>
    </w:p>
    <w:p>
      <w:pPr>
        <w:pStyle w:val="CM31"/>
        <w:numPr>
          <w:ilvl w:val="0"/>
          <w:numId w:val="3"/>
        </w:numPr>
        <w:spacing w:lineRule="atLeast" w:line="280" w:before="0" w:after="0"/>
        <w:rPr/>
      </w:pPr>
      <w:r>
        <w:rPr>
          <w:rFonts w:cs="Calibri" w:ascii="Calibri" w:hAnsi="Calibri"/>
        </w:rPr>
        <w:t>I confirm that my son/daughter wishes to volunteer with NAMFREL.</w:t>
      </w:r>
    </w:p>
    <w:p>
      <w:pPr>
        <w:pStyle w:val="CM31"/>
        <w:numPr>
          <w:ilvl w:val="0"/>
          <w:numId w:val="2"/>
        </w:numPr>
        <w:spacing w:lineRule="atLeast" w:line="280" w:before="0" w:after="0"/>
        <w:rPr>
          <w:rFonts w:ascii="Calibri" w:hAnsi="Calibri" w:cs="Calibri"/>
        </w:rPr>
      </w:pPr>
      <w:r>
        <w:rPr>
          <w:rFonts w:cs="Calibri" w:ascii="Calibri" w:hAnsi="Calibri"/>
        </w:rPr>
        <w:t>I confirm that my son/daughter has asked for my permission to volunteer for NAMFREL.</w:t>
      </w:r>
      <w:r>
        <w:br w:type="page"/>
      </w:r>
    </w:p>
    <w:p>
      <w:pPr>
        <w:pStyle w:val="CM31"/>
        <w:numPr>
          <w:ilvl w:val="0"/>
          <w:numId w:val="2"/>
        </w:numPr>
        <w:spacing w:lineRule="atLeast" w:line="280" w:before="0" w:after="0"/>
        <w:rPr/>
      </w:pPr>
      <w:r>
        <w:rPr>
          <w:rFonts w:cs="Calibri" w:ascii="Calibri" w:hAnsi="Calibri"/>
        </w:rPr>
        <w:t>I agree and give permission to my son/daughter taking part in the activities of NAMFREL as a volunteer.</w:t>
      </w:r>
    </w:p>
    <w:p>
      <w:pPr>
        <w:pStyle w:val="CM31"/>
        <w:numPr>
          <w:ilvl w:val="0"/>
          <w:numId w:val="2"/>
        </w:numPr>
        <w:spacing w:lineRule="atLeast" w:line="280" w:before="0" w:after="0"/>
        <w:rPr/>
      </w:pPr>
      <w:r>
        <w:rPr>
          <w:rFonts w:cs="Calibri" w:ascii="Calibri" w:hAnsi="Calibri"/>
        </w:rPr>
        <w:t>I consent to my son/daughter travelling by any type of public transportation to destinations where election activities are held.</w:t>
      </w:r>
    </w:p>
    <w:p>
      <w:pPr>
        <w:pStyle w:val="CM31"/>
        <w:numPr>
          <w:ilvl w:val="0"/>
          <w:numId w:val="2"/>
        </w:numPr>
        <w:spacing w:lineRule="atLeast" w:line="280" w:before="0" w:after="0"/>
        <w:rPr/>
      </w:pPr>
      <w:r>
        <w:rPr>
          <w:rFonts w:cs="Calibri" w:ascii="Calibri" w:hAnsi="Calibri"/>
        </w:rPr>
        <w:t xml:space="preserve">I consent to have my son’s/daughter’s picture or video being taken during the conduct of NAMFREL’s activities.  </w:t>
      </w:r>
    </w:p>
    <w:p>
      <w:pPr>
        <w:pStyle w:val="CM31"/>
        <w:numPr>
          <w:ilvl w:val="0"/>
          <w:numId w:val="2"/>
        </w:numPr>
        <w:spacing w:lineRule="atLeast" w:line="280" w:before="0" w:after="0"/>
        <w:rPr/>
      </w:pPr>
      <w:r>
        <w:rPr>
          <w:rFonts w:cs="Calibri" w:ascii="Calibri" w:hAnsi="Calibri"/>
        </w:rPr>
        <w:t>I consent to the use of my son’s/daughter’s pictures and/or videos in NAMFREL’s observation reports and materials that promote NAMFREL’s activities, including publication or posting in NAMFREL’s website and social media channels.</w:t>
      </w:r>
    </w:p>
    <w:p>
      <w:pPr>
        <w:pStyle w:val="Normal"/>
        <w:numPr>
          <w:ilvl w:val="0"/>
          <w:numId w:val="2"/>
        </w:numPr>
        <w:spacing w:lineRule="atLeast" w:line="280" w:before="0" w:after="0"/>
        <w:rPr/>
      </w:pPr>
      <w:r>
        <w:rPr>
          <w:rFonts w:cs="Calibri"/>
        </w:rPr>
        <w:t xml:space="preserve">I consent to have my son’s/daughter’s name and address processed by NAMFREL, so that my son/daughter can be assigned to the proper </w:t>
      </w:r>
      <w:r>
        <w:rPr>
          <w:rFonts w:cs="Calibri"/>
          <w:lang w:val="en-US"/>
        </w:rPr>
        <w:t>NAMFREL Chapter covering their place of residence and to their place of deployment.</w:t>
      </w:r>
    </w:p>
    <w:p>
      <w:pPr>
        <w:pStyle w:val="Normal"/>
        <w:numPr>
          <w:ilvl w:val="0"/>
          <w:numId w:val="2"/>
        </w:numPr>
        <w:spacing w:lineRule="atLeast" w:line="280" w:before="0" w:after="0"/>
        <w:rPr/>
      </w:pPr>
      <w:r>
        <w:rPr>
          <w:rFonts w:cs="Calibri"/>
          <w:lang w:val="en-US"/>
        </w:rPr>
        <w:t>I consent to have my son</w:t>
      </w:r>
      <w:r>
        <w:rPr>
          <w:rFonts w:cs="Calibri"/>
        </w:rPr>
        <w:t>’s/daughter’s age processed by NAMFREL, so that he/she may be assigned to the proper tasks appropriate for their age.</w:t>
      </w:r>
    </w:p>
    <w:p>
      <w:pPr>
        <w:pStyle w:val="Normal"/>
        <w:numPr>
          <w:ilvl w:val="0"/>
          <w:numId w:val="2"/>
        </w:numPr>
        <w:spacing w:lineRule="atLeast" w:line="280" w:before="0" w:after="0"/>
        <w:rPr/>
      </w:pPr>
      <w:r>
        <w:rPr>
          <w:rFonts w:cs="Calibri"/>
          <w:lang w:val="en-US"/>
        </w:rPr>
        <w:t>I consent to have my son</w:t>
      </w:r>
      <w:r>
        <w:rPr>
          <w:rFonts w:cs="Calibri"/>
        </w:rPr>
        <w:t>’s/daughter’s contact information be processed by NAMFREL, in order to reach him/her in the course of their assigned tasks.</w:t>
      </w:r>
    </w:p>
    <w:p>
      <w:pPr>
        <w:pStyle w:val="Normal"/>
        <w:numPr>
          <w:ilvl w:val="0"/>
          <w:numId w:val="2"/>
        </w:numPr>
        <w:spacing w:lineRule="atLeast" w:line="280" w:before="0" w:after="0"/>
        <w:rPr/>
      </w:pPr>
      <w:r>
        <w:rPr>
          <w:rFonts w:cs="Calibri"/>
        </w:rPr>
        <w:t>I consent to have these information processed so that my child may be appointed to the proper polling place on Election Day:</w:t>
      </w:r>
    </w:p>
    <w:p>
      <w:pPr>
        <w:pStyle w:val="Normal"/>
        <w:ind w:left="1440" w:hanging="0"/>
        <w:rPr>
          <w:rFonts w:ascii="Times New Roman" w:hAnsi="Times New Roman" w:cs="Times New Roman"/>
        </w:rPr>
      </w:pPr>
      <w:r>
        <w:rPr>
          <w:rFonts w:cs="Calibri"/>
          <w:lang w:val="en-US"/>
        </w:rPr>
        <w:t>a. Is a registered voter of the city or municipality where such person is assigned;</w:t>
      </w:r>
    </w:p>
    <w:p>
      <w:pPr>
        <w:pStyle w:val="Normal"/>
        <w:ind w:left="1440" w:hanging="0"/>
        <w:rPr>
          <w:rFonts w:ascii="Times New Roman" w:hAnsi="Times New Roman" w:cs="Times New Roman"/>
        </w:rPr>
      </w:pPr>
      <w:r>
        <w:rPr>
          <w:rFonts w:cs="Calibri"/>
          <w:lang w:val="en-US"/>
        </w:rPr>
        <w:t>b. Is of good moral character;</w:t>
      </w:r>
    </w:p>
    <w:p>
      <w:pPr>
        <w:pStyle w:val="Normal"/>
        <w:ind w:left="1440" w:hanging="0"/>
        <w:rPr>
          <w:rFonts w:ascii="Times New Roman" w:hAnsi="Times New Roman" w:cs="Times New Roman"/>
        </w:rPr>
      </w:pPr>
      <w:r>
        <w:rPr>
          <w:rFonts w:cs="Calibri"/>
          <w:lang w:val="en-US"/>
        </w:rPr>
        <w:t>c. Has not have been convicted by final judgment of any election offense or of any other crime;</w:t>
      </w:r>
    </w:p>
    <w:p>
      <w:pPr>
        <w:pStyle w:val="Normal"/>
        <w:ind w:left="1440" w:hanging="0"/>
        <w:rPr>
          <w:rFonts w:ascii="Times New Roman" w:hAnsi="Times New Roman" w:cs="Times New Roman"/>
        </w:rPr>
      </w:pPr>
      <w:r>
        <w:rPr>
          <w:rFonts w:cs="Calibri"/>
          <w:lang w:val="en-US"/>
        </w:rPr>
        <w:t>d. Knows how to read and write Filipino, English or the prevailing local dialect; and</w:t>
      </w:r>
    </w:p>
    <w:p>
      <w:pPr>
        <w:pStyle w:val="Normal"/>
        <w:ind w:left="1440" w:hanging="0"/>
        <w:rPr>
          <w:rFonts w:ascii="Calibri" w:hAnsi="Calibri" w:eastAsia="Calibri" w:cs="Calibri"/>
          <w:color w:val="221E1F"/>
          <w:lang w:val="en-GB"/>
        </w:rPr>
      </w:pPr>
      <w:r>
        <w:rPr>
          <w:rFonts w:cs="Calibri"/>
          <w:lang w:val="en-US"/>
        </w:rPr>
        <w:t>e. Is not related within the fourth civil degree of consanguinity or affinity to the chairperson, or any other member of the [Electoral Board] in the polling place where such person seeks appointment as a watcher.</w:t>
      </w:r>
      <w:r>
        <w:rPr>
          <w:rFonts w:eastAsia="Calibri" w:cs="Calibri"/>
          <w:lang w:val="en-US"/>
        </w:rPr>
        <w:t>”</w:t>
      </w:r>
      <w:r>
        <w:rPr>
          <w:rStyle w:val="FootnoteAnchor"/>
          <w:rFonts w:eastAsia="Calibri" w:cs="Calibri"/>
          <w:lang w:val="en-US"/>
        </w:rPr>
        <w:footnoteReference w:id="8"/>
      </w:r>
    </w:p>
    <w:p>
      <w:pPr>
        <w:pStyle w:val="Normal"/>
        <w:numPr>
          <w:ilvl w:val="0"/>
          <w:numId w:val="2"/>
        </w:numPr>
        <w:spacing w:lineRule="atLeast" w:line="280" w:before="0" w:after="0"/>
        <w:rPr>
          <w:rFonts w:ascii="Times New Roman" w:hAnsi="Times New Roman" w:eastAsia="Times New Roman" w:cs="Times New Roman"/>
        </w:rPr>
      </w:pPr>
      <w:r>
        <w:rPr>
          <w:rFonts w:eastAsia="Calibri" w:cs="Calibri"/>
          <w:color w:val="221E1F"/>
        </w:rPr>
        <w:t xml:space="preserve"> </w:t>
      </w:r>
      <w:r>
        <w:rPr>
          <w:rFonts w:cs="Calibri"/>
          <w:color w:val="221E1F"/>
        </w:rPr>
        <w:t>Consent shall subsist from the time of application to be a volunteer up to the end of the election period.</w:t>
      </w:r>
    </w:p>
    <w:p>
      <w:pPr>
        <w:pStyle w:val="Normal"/>
        <w:rPr>
          <w:rFonts w:ascii="Calibri" w:hAnsi="Calibri" w:cs="Calibri"/>
          <w:color w:val="221E1F"/>
        </w:rPr>
      </w:pPr>
      <w:r>
        <w:rPr>
          <w:rFonts w:cs="Calibri"/>
          <w:color w:val="221E1F"/>
        </w:rPr>
      </w:r>
    </w:p>
    <w:p>
      <w:pPr>
        <w:pStyle w:val="Normal"/>
        <w:rPr>
          <w:rFonts w:ascii="Calibri" w:hAnsi="Calibri" w:cs="Calibri"/>
          <w:color w:val="221E1F"/>
        </w:rPr>
      </w:pPr>
      <w:r>
        <w:rPr>
          <w:rFonts w:cs="Calibri"/>
          <w:color w:val="221E1F"/>
        </w:rPr>
      </w:r>
    </w:p>
    <w:p>
      <w:pPr>
        <w:pStyle w:val="Normal"/>
        <w:rPr>
          <w:rFonts w:ascii="Calibri" w:hAnsi="Calibri" w:cs="Calibri"/>
        </w:rPr>
      </w:pPr>
      <w:r>
        <w:rPr>
          <w:rFonts w:cs="Calibri"/>
        </w:rPr>
      </w:r>
    </w:p>
    <w:tbl>
      <w:tblPr>
        <w:tblW w:w="890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299"/>
        <w:gridCol w:w="542"/>
        <w:gridCol w:w="4065"/>
      </w:tblGrid>
      <w:tr>
        <w:trPr/>
        <w:tc>
          <w:tcPr>
            <w:tcW w:w="4299" w:type="dxa"/>
            <w:tcBorders>
              <w:bottom w:val="single" w:sz="4" w:space="0" w:color="000000"/>
            </w:tcBorders>
          </w:tcPr>
          <w:p>
            <w:pPr>
              <w:pStyle w:val="Normal"/>
              <w:widowControl w:val="false"/>
              <w:snapToGrid w:val="false"/>
              <w:spacing w:before="0" w:after="160"/>
              <w:rPr>
                <w:rFonts w:ascii="Calibri" w:hAnsi="Calibri" w:cs="Calibri"/>
                <w:color w:val="221E1F"/>
              </w:rPr>
            </w:pPr>
            <w:r>
              <w:rPr>
                <w:rFonts w:cs="Calibri"/>
                <w:color w:val="221E1F"/>
              </w:rPr>
            </w:r>
          </w:p>
        </w:tc>
        <w:tc>
          <w:tcPr>
            <w:tcW w:w="542" w:type="dxa"/>
            <w:tcBorders/>
          </w:tcPr>
          <w:p>
            <w:pPr>
              <w:pStyle w:val="Normal"/>
              <w:widowControl w:val="false"/>
              <w:snapToGrid w:val="false"/>
              <w:spacing w:before="0" w:after="160"/>
              <w:rPr>
                <w:rFonts w:ascii="Calibri" w:hAnsi="Calibri" w:cs="Calibri"/>
                <w:color w:val="221E1F"/>
              </w:rPr>
            </w:pPr>
            <w:r>
              <w:rPr>
                <w:rFonts w:cs="Calibri"/>
                <w:color w:val="221E1F"/>
              </w:rPr>
            </w:r>
          </w:p>
        </w:tc>
        <w:tc>
          <w:tcPr>
            <w:tcW w:w="4065" w:type="dxa"/>
            <w:tcBorders>
              <w:bottom w:val="single" w:sz="4" w:space="0" w:color="000000"/>
            </w:tcBorders>
          </w:tcPr>
          <w:p>
            <w:pPr>
              <w:pStyle w:val="Normal"/>
              <w:widowControl w:val="false"/>
              <w:snapToGrid w:val="false"/>
              <w:spacing w:before="0" w:after="160"/>
              <w:rPr>
                <w:rFonts w:ascii="Calibri" w:hAnsi="Calibri" w:cs="Calibri"/>
                <w:color w:val="221E1F"/>
              </w:rPr>
            </w:pPr>
            <w:r>
              <w:rPr>
                <w:rFonts w:cs="Calibri"/>
                <w:color w:val="221E1F"/>
              </w:rPr>
            </w:r>
          </w:p>
        </w:tc>
      </w:tr>
      <w:tr>
        <w:trPr/>
        <w:tc>
          <w:tcPr>
            <w:tcW w:w="4299" w:type="dxa"/>
            <w:tcBorders>
              <w:top w:val="single" w:sz="4" w:space="0" w:color="000000"/>
            </w:tcBorders>
          </w:tcPr>
          <w:p>
            <w:pPr>
              <w:pStyle w:val="Normal"/>
              <w:widowControl w:val="false"/>
              <w:spacing w:before="0" w:after="160"/>
              <w:jc w:val="center"/>
              <w:rPr>
                <w:rFonts w:ascii="Times New Roman" w:hAnsi="Times New Roman" w:cs="Times New Roman"/>
              </w:rPr>
            </w:pPr>
            <w:r>
              <w:rPr>
                <w:rFonts w:cs="Calibri"/>
                <w:color w:val="221E1F"/>
              </w:rPr>
              <w:t>Name of Parent/Guardian and Signature</w:t>
            </w:r>
          </w:p>
        </w:tc>
        <w:tc>
          <w:tcPr>
            <w:tcW w:w="542" w:type="dxa"/>
            <w:tcBorders/>
          </w:tcPr>
          <w:p>
            <w:pPr>
              <w:pStyle w:val="Normal"/>
              <w:widowControl w:val="false"/>
              <w:snapToGrid w:val="false"/>
              <w:spacing w:before="0" w:after="160"/>
              <w:jc w:val="center"/>
              <w:rPr>
                <w:rFonts w:ascii="Calibri" w:hAnsi="Calibri" w:cs="Calibri"/>
                <w:color w:val="221E1F"/>
              </w:rPr>
            </w:pPr>
            <w:r>
              <w:rPr>
                <w:rFonts w:cs="Calibri"/>
                <w:color w:val="221E1F"/>
              </w:rPr>
            </w:r>
          </w:p>
        </w:tc>
        <w:tc>
          <w:tcPr>
            <w:tcW w:w="4065" w:type="dxa"/>
            <w:tcBorders>
              <w:top w:val="single" w:sz="4" w:space="0" w:color="000000"/>
            </w:tcBorders>
          </w:tcPr>
          <w:p>
            <w:pPr>
              <w:pStyle w:val="Normal"/>
              <w:widowControl w:val="false"/>
              <w:spacing w:before="0" w:after="160"/>
              <w:jc w:val="center"/>
              <w:rPr>
                <w:rFonts w:ascii="Times New Roman" w:hAnsi="Times New Roman" w:cs="Times New Roman"/>
              </w:rPr>
            </w:pPr>
            <w:r>
              <w:rPr>
                <w:rFonts w:cs="Calibri"/>
                <w:color w:val="221E1F"/>
              </w:rPr>
              <w:t>Date of Signing</w:t>
            </w:r>
          </w:p>
        </w:tc>
      </w:tr>
    </w:tbl>
    <w:p>
      <w:pPr>
        <w:pStyle w:val="Normal"/>
        <w:spacing w:before="0" w:after="160"/>
        <w:rPr>
          <w:rFonts w:ascii="Times New Roman" w:hAnsi="Times New Roman" w:cs="Times New Roman"/>
        </w:rPr>
      </w:pPr>
      <w:r>
        <w:rPr/>
      </w:r>
    </w:p>
    <w:sectPr>
      <w:footnotePr>
        <w:numFmt w:val="decimal"/>
      </w:footnotePr>
      <w:type w:val="nextPage"/>
      <w:pgSz w:w="11906" w:h="16838"/>
      <w:pgMar w:left="1440" w:right="144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lang w:val="en-US"/>
        </w:rPr>
      </w:pPr>
      <w:r>
        <w:rPr>
          <w:rStyle w:val="FootnoteCharacters"/>
        </w:rPr>
        <w:footnoteRef/>
      </w:r>
      <w:r>
        <w:rPr/>
        <w:t xml:space="preserve"> </w:t>
      </w:r>
      <w:r>
        <w:fldChar w:fldCharType="begin"/>
      </w:r>
      <w:r>
        <w:rPr>
          <w:rStyle w:val="InternetLink"/>
        </w:rPr>
        <w:instrText> HYPERLINK "https://www.un.org/development/desa/youth/what-we-do/faq.html" \l ":~:text=The United Nations%2C for statistical,other definitions by Member States.&amp;text=This age is often 18,considered to be an adult"</w:instrText>
      </w:r>
      <w:r>
        <w:rPr>
          <w:rStyle w:val="InternetLink"/>
        </w:rPr>
        <w:fldChar w:fldCharType="separate"/>
      </w:r>
      <w:r>
        <w:rPr>
          <w:rStyle w:val="InternetLink"/>
        </w:rPr>
        <w:t>https://www.un.org/development/desa/youth/what-we-do/faq.html#:~:text=The%20United%20Nations%2C%20for%20statistical,other%20definitions%20by%20Member%20States.&amp;text=This%20age%20is%20often%2018,considered%20to%20be%20an%20adult</w:t>
      </w:r>
      <w:r>
        <w:rPr>
          <w:rStyle w:val="InternetLink"/>
        </w:rPr>
        <w:fldChar w:fldCharType="end"/>
      </w:r>
      <w:r>
        <w:rPr/>
        <w:t>.</w:t>
      </w:r>
    </w:p>
  </w:footnote>
  <w:footnote w:id="3">
    <w:p>
      <w:pPr>
        <w:pStyle w:val="Footnote"/>
        <w:rPr>
          <w:color w:val="auto"/>
        </w:rPr>
      </w:pPr>
      <w:r>
        <w:rPr>
          <w:rStyle w:val="FootnoteCharacters"/>
        </w:rPr>
        <w:footnoteRef/>
      </w:r>
      <w:r>
        <w:rPr>
          <w:color w:val="auto"/>
        </w:rPr>
        <w:t xml:space="preserve"> </w:t>
      </w:r>
      <w:r>
        <w:rPr>
          <w:color w:val="auto"/>
        </w:rPr>
        <w:t>Article 234, Family Code, as amended by Republic Act No. 6809</w:t>
      </w:r>
    </w:p>
  </w:footnote>
  <w:footnote w:id="4">
    <w:p>
      <w:pPr>
        <w:pStyle w:val="Footnote"/>
        <w:rPr/>
      </w:pPr>
      <w:r>
        <w:rPr>
          <w:rStyle w:val="FootnoteCharacters"/>
        </w:rPr>
        <w:footnoteRef/>
      </w:r>
      <w:r>
        <w:rPr/>
        <w:t xml:space="preserve"> </w:t>
      </w:r>
      <w:r>
        <w:rPr/>
        <w:t>Required under Section 13 of the Data Privacy Act (Republic Act No. 10173)</w:t>
      </w:r>
    </w:p>
  </w:footnote>
  <w:footnote w:id="5">
    <w:p>
      <w:pPr>
        <w:pStyle w:val="Footnote"/>
        <w:rPr/>
      </w:pPr>
      <w:r>
        <w:rPr>
          <w:rStyle w:val="FootnoteCharacters"/>
        </w:rPr>
        <w:footnoteRef/>
      </w:r>
      <w:r>
        <w:rPr/>
        <w:t xml:space="preserve"> </w:t>
      </w:r>
      <w:r>
        <w:rPr/>
        <w:t>Considered “sensitive personal information” under the Data Privacy Act (Republic Act No. 10173)</w:t>
      </w:r>
    </w:p>
  </w:footnote>
  <w:footnote w:id="6">
    <w:p>
      <w:pPr>
        <w:pStyle w:val="Footnote"/>
        <w:rPr/>
      </w:pPr>
      <w:r>
        <w:rPr>
          <w:rStyle w:val="FootnoteCharacters"/>
        </w:rPr>
        <w:footnoteRef/>
      </w:r>
      <w:r>
        <w:rPr/>
        <w:t xml:space="preserve"> </w:t>
      </w:r>
      <w:r>
        <w:rPr/>
        <w:t>https://comelec.gov.ph/php-tpls-attachments/2022NLE/Resolutions/com_res_10727.pdf</w:t>
      </w:r>
    </w:p>
  </w:footnote>
  <w:footnote w:id="7">
    <w:p>
      <w:pPr>
        <w:pStyle w:val="Footnote"/>
        <w:rPr/>
      </w:pPr>
      <w:r>
        <w:rPr>
          <w:rStyle w:val="FootnoteCharacters"/>
        </w:rPr>
        <w:footnoteRef/>
      </w:r>
      <w:r>
        <w:rPr>
          <w:rFonts w:cs="Calibri"/>
        </w:rPr>
        <w:tab/>
        <w:t>As required for watchers by COMELEC Resolution No. 10727: https://comelec.gov.ph/php-tpls-attachments/2022NLE/Resolutions/com_res_10727.pdf</w:t>
      </w:r>
    </w:p>
  </w:footnote>
  <w:footnote w:id="8">
    <w:p>
      <w:pPr>
        <w:pStyle w:val="Footnote"/>
        <w:rPr/>
      </w:pPr>
      <w:r>
        <w:rPr>
          <w:rStyle w:val="FootnoteCharacters"/>
        </w:rPr>
        <w:footnoteRef/>
      </w:r>
      <w:r>
        <w:rPr/>
        <w:tab/>
        <w:t xml:space="preserve"> https://comelec.gov.ph/php-tpls-attachments/2022NLE/Resolutions/com_res_10727.pdf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sz w:val="24"/>
        <w:szCs w:val="24"/>
        <w:rFonts w:ascii="Calibri" w:hAnsi="Calibri" w:eastAsia="Times New Roman" w:cs="Calibri"/>
        <w:color w:val="221E1F"/>
        <w:lang w:val="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2"/>
    <w:lvlOverride w:ilvl="0">
      <w:startOverride w:val="1"/>
    </w:lvlOverride>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P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P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PH"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c71fe"/>
    <w:rPr>
      <w:color w:val="0000FF"/>
      <w:u w:val="single"/>
    </w:rPr>
  </w:style>
  <w:style w:type="character" w:styleId="BodyTextChar" w:customStyle="1">
    <w:name w:val="Body Text Char"/>
    <w:basedOn w:val="DefaultParagraphFont"/>
    <w:link w:val="BodyText"/>
    <w:uiPriority w:val="99"/>
    <w:semiHidden/>
    <w:qFormat/>
    <w:rsid w:val="00dc71fe"/>
    <w:rPr>
      <w:rFonts w:ascii="Times New Roman" w:hAnsi="Times New Roman" w:eastAsia="Times New Roman" w:cs="Times New Roman"/>
      <w:sz w:val="24"/>
      <w:szCs w:val="24"/>
      <w:lang w:eastAsia="en-PH"/>
    </w:rPr>
  </w:style>
  <w:style w:type="character" w:styleId="Strong">
    <w:name w:val="Strong"/>
    <w:basedOn w:val="DefaultParagraphFont"/>
    <w:uiPriority w:val="22"/>
    <w:qFormat/>
    <w:rsid w:val="00dc71fe"/>
    <w:rPr>
      <w:b/>
      <w:bCs/>
    </w:rPr>
  </w:style>
  <w:style w:type="character" w:styleId="FootnoteTextChar" w:customStyle="1">
    <w:name w:val="Footnote Text Char"/>
    <w:basedOn w:val="DefaultParagraphFont"/>
    <w:link w:val="FootnoteText"/>
    <w:semiHidden/>
    <w:qFormat/>
    <w:rsid w:val="00dc71fe"/>
    <w:rPr>
      <w:sz w:val="20"/>
      <w:szCs w:val="20"/>
    </w:rPr>
  </w:style>
  <w:style w:type="character" w:styleId="FootnoteCharacters">
    <w:name w:val="Footnote Characters"/>
    <w:semiHidden/>
    <w:unhideWhenUsed/>
    <w:qFormat/>
    <w:rsid w:val="00434a33"/>
    <w:rPr>
      <w:vertAlign w:val="superscript"/>
    </w:rPr>
  </w:style>
  <w:style w:type="character" w:styleId="FootnoteAnchor" w:customStyle="1">
    <w:name w:val="Footnote Anchor"/>
    <w:rPr>
      <w:vertAlign w:val="superscript"/>
    </w:rPr>
  </w:style>
  <w:style w:type="character" w:styleId="UnresolvedMention">
    <w:name w:val="Unresolved Mention"/>
    <w:basedOn w:val="DefaultParagraphFont"/>
    <w:uiPriority w:val="99"/>
    <w:semiHidden/>
    <w:unhideWhenUsed/>
    <w:qFormat/>
    <w:rsid w:val="00dc71fe"/>
    <w:rPr>
      <w:color w:val="605E5C"/>
      <w:shd w:fill="E1DFDD" w:val="clear"/>
    </w:rPr>
  </w:style>
  <w:style w:type="character" w:styleId="LineNumbering" w:customStyle="1">
    <w:name w:val="Line Numbering"/>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dc71fe"/>
    <w:pPr>
      <w:spacing w:lineRule="auto" w:line="240" w:beforeAutospacing="1" w:afterAutospacing="1"/>
    </w:pPr>
    <w:rPr>
      <w:rFonts w:ascii="Times New Roman" w:hAnsi="Times New Roman" w:eastAsia="Times New Roman" w:cs="Times New Roman"/>
      <w:sz w:val="24"/>
      <w:szCs w:val="24"/>
      <w:lang w:eastAsia="en-PH"/>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dc71fe"/>
    <w:pPr>
      <w:spacing w:lineRule="auto" w:line="240" w:beforeAutospacing="1" w:afterAutospacing="1"/>
    </w:pPr>
    <w:rPr>
      <w:rFonts w:ascii="Times New Roman" w:hAnsi="Times New Roman" w:eastAsia="Times New Roman" w:cs="Times New Roman"/>
      <w:sz w:val="24"/>
      <w:szCs w:val="24"/>
      <w:lang w:eastAsia="en-PH"/>
    </w:rPr>
  </w:style>
  <w:style w:type="paragraph" w:styleId="ListParagraph">
    <w:name w:val="List Paragraph"/>
    <w:basedOn w:val="Normal"/>
    <w:uiPriority w:val="34"/>
    <w:qFormat/>
    <w:rsid w:val="00dc71fe"/>
    <w:pPr>
      <w:spacing w:before="0" w:after="160"/>
      <w:ind w:left="720" w:hanging="0"/>
      <w:contextualSpacing/>
    </w:pPr>
    <w:rPr/>
  </w:style>
  <w:style w:type="paragraph" w:styleId="Footnote">
    <w:name w:val="Footnote Text"/>
    <w:basedOn w:val="Normal"/>
    <w:link w:val="FootnoteTextChar"/>
    <w:semiHidden/>
    <w:unhideWhenUsed/>
    <w:rsid w:val="00dc71fe"/>
    <w:pPr>
      <w:spacing w:lineRule="auto" w:line="240" w:before="0" w:after="0"/>
    </w:pPr>
    <w:rPr>
      <w:sz w:val="20"/>
      <w:szCs w:val="20"/>
    </w:rPr>
  </w:style>
  <w:style w:type="paragraph" w:styleId="CM31" w:customStyle="1">
    <w:name w:val="CM31"/>
    <w:basedOn w:val="Normal"/>
    <w:next w:val="Normal"/>
    <w:qFormat/>
    <w:rsid w:val="00434a33"/>
    <w:pPr>
      <w:widowControl w:val="false"/>
      <w:spacing w:lineRule="auto" w:line="240" w:before="0" w:after="270"/>
    </w:pPr>
    <w:rPr>
      <w:rFonts w:ascii="Arial" w:hAnsi="Arial" w:eastAsia="Times New Roman" w:cs="Arial"/>
      <w:sz w:val="24"/>
      <w:szCs w:val="24"/>
      <w:lang w:val="en-GB" w:eastAsia="zh-C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amfrel.org.ph/inamfrel/vol-privacy.htm"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3330-35F9-44DE-9DC8-6F75C608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LibreOffice/7.2.2.2$MacOSX_X86_64 LibreOffice_project/02b2acce88a210515b4a5bb2e46cbfb63fe97d56</Application>
  <AppVersion>15.0000</AppVersion>
  <Pages>5</Pages>
  <Words>1224</Words>
  <Characters>7161</Characters>
  <CharactersWithSpaces>8319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2021-11-29T22:57:00Z</dcterms:created>
  <dc:creator>Lito</dc:creator>
  <dc:description/>
  <dc:language>en-PH</dc:language>
  <cp:lastModifiedBy/>
  <dcterms:modified xsi:type="dcterms:W3CDTF">2021-11-30T12:21:39Z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